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D1D1" w14:textId="77777777" w:rsidR="001555A1" w:rsidRDefault="006A1F60">
      <w:r>
        <w:t>February 26,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77777777" w:rsidR="006A1F60" w:rsidRDefault="006A1F60">
      <w:r>
        <w:tab/>
      </w:r>
      <w:r>
        <w:tab/>
        <w:t xml:space="preserve">County Clerk </w:t>
      </w:r>
      <w:proofErr w:type="spellStart"/>
      <w:r>
        <w:t>Legisaltive</w:t>
      </w:r>
      <w:proofErr w:type="spellEnd"/>
      <w:r>
        <w:t xml:space="preser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12909E0E" w14:textId="77777777" w:rsidR="006A1F60" w:rsidRDefault="006A1F60"/>
    <w:p w14:paraId="510C4D76" w14:textId="77777777" w:rsidR="006A1F60" w:rsidRDefault="006A1F60">
      <w:r>
        <w:t>The dust has settled on the introduction deadline for measures brought forward for consideration in the 2019 Session.  By the close of business on Friday, February 22</w:t>
      </w:r>
      <w:r w:rsidRPr="006A1F60">
        <w:rPr>
          <w:vertAlign w:val="superscript"/>
        </w:rPr>
        <w:t>nd</w:t>
      </w:r>
      <w:r>
        <w:t xml:space="preserve">, </w:t>
      </w:r>
      <w:proofErr w:type="spellStart"/>
      <w:r>
        <w:t>Assemblymembers</w:t>
      </w:r>
      <w:proofErr w:type="spellEnd"/>
      <w:r>
        <w:t xml:space="preserve"> and Senators were required to submit changes to law in Legislative Counsel form for introduction into the process.  At final count, both</w:t>
      </w:r>
      <w:r w:rsidR="0059025E">
        <w:t xml:space="preserve"> Houses ended up introducing 2,577 bills into print for public viewing (Assembly- 1,799, Senate- 778). </w:t>
      </w:r>
    </w:p>
    <w:p w14:paraId="6004818E" w14:textId="77777777" w:rsidR="0059025E" w:rsidRDefault="0059025E"/>
    <w:p w14:paraId="27EB0EB0" w14:textId="77777777" w:rsidR="0059025E" w:rsidRDefault="0059025E">
      <w:r>
        <w:t xml:space="preserve">A large percentage of these measures could be classified as “spot bills” that have been introduced as placeholders for future language.  Members will often introduce bills as a vehicle to simply satisfy a deadline requirement with the intent of amending it later.  Bills must remain in print for 30 days before they can be amended or heard in Committee; </w:t>
      </w:r>
      <w:proofErr w:type="gramStart"/>
      <w:r>
        <w:t>so</w:t>
      </w:r>
      <w:proofErr w:type="gramEnd"/>
      <w:r>
        <w:t xml:space="preserve"> the more substantive goals of these “spot bills” remains to be seen next month when the amendment waiting period passes.  That being said, we have included some spot bills in the report based on proximity to Code Sections we are about; and the assumption that the future amendments may merit tracking.</w:t>
      </w:r>
    </w:p>
    <w:p w14:paraId="7F9F3134" w14:textId="77777777" w:rsidR="0059025E" w:rsidRDefault="0059025E"/>
    <w:p w14:paraId="192F8BBC" w14:textId="77777777" w:rsidR="0059025E" w:rsidRDefault="0059025E">
      <w:r>
        <w:t>The next major deadline to keep an eye on is the final day to hear a bill in policy committee (April 26</w:t>
      </w:r>
      <w:r w:rsidRPr="0059025E">
        <w:rPr>
          <w:vertAlign w:val="superscript"/>
        </w:rPr>
        <w:t>th</w:t>
      </w:r>
      <w:r>
        <w:t xml:space="preserve"> for fiscal bills/May3rd for non-fiscal bills).  This seems like </w:t>
      </w:r>
      <w:proofErr w:type="gramStart"/>
      <w:r>
        <w:t>a long ways</w:t>
      </w:r>
      <w:proofErr w:type="gramEnd"/>
      <w:r>
        <w:t xml:space="preserve"> off, but once the Committee process gets moving it will be on top of us quickly.</w:t>
      </w:r>
    </w:p>
    <w:p w14:paraId="501057E1" w14:textId="77777777" w:rsidR="0059025E" w:rsidRDefault="0059025E"/>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lastRenderedPageBreak/>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17EAA877" w14:textId="77777777" w:rsidR="0059025E" w:rsidRDefault="0059025E" w:rsidP="0059025E"/>
    <w:p w14:paraId="204DAD55" w14:textId="77777777" w:rsidR="0059025E" w:rsidRDefault="0059025E" w:rsidP="0059025E">
      <w:r>
        <w:t xml:space="preserve">The Author sits on the Business and Professions Committee, where this bill will likely be referred.  He also participates in the technology caucus and is active in streamlining and improving public services by integrating technology and electronic options.  As the measure moves along, he will be helpful.  We need to keep an eye on the standards and language that is suggested by Committee to protect the information transmitted online, but otherwise this measure is in good hands.  </w:t>
      </w:r>
    </w:p>
    <w:p w14:paraId="5EFF5006" w14:textId="77777777" w:rsidR="0059025E" w:rsidRDefault="0059025E" w:rsidP="0059025E"/>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7777777" w:rsidR="00177DEB" w:rsidRDefault="00177DEB">
      <w:r>
        <w:t xml:space="preserve">The bill will be shepherded through the process by </w:t>
      </w:r>
      <w:r w:rsidR="003E7006">
        <w:t xml:space="preserve">Senator Scott Wiener, who has agreed to include the CACEO sponsored amendment to remove the requirement that the Secretary of State provide counties with forms related to State registration for domestic partnerships.  The amendment will be included in the next round of changes to this bill (within the next few weeks).  </w:t>
      </w:r>
    </w:p>
    <w:p w14:paraId="48E9DD66" w14:textId="77777777" w:rsidR="003E7006" w:rsidRDefault="003E7006"/>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2180FE19" w:rsidR="006831EA" w:rsidRDefault="006831EA">
      <w:r>
        <w:t xml:space="preserve">This measure is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D7EA3D6" w:rsidR="00FC580F" w:rsidRDefault="00FC580F">
      <w:r>
        <w:t xml:space="preserve">The bill is strongly opposed by the Secretary of State, and has no guidelines on the storage or retention requirements, uniformity or format issues.  We need to be at the table to discuss with stakeholders.  </w:t>
      </w:r>
    </w:p>
    <w:p w14:paraId="673E12AA" w14:textId="77777777" w:rsidR="00F225C6" w:rsidRDefault="00F225C6"/>
    <w:p w14:paraId="535F0276" w14:textId="16650136" w:rsidR="00F225C6" w:rsidRDefault="00F225C6">
      <w:pPr>
        <w:rPr>
          <w:b/>
          <w:u w:val="single"/>
        </w:rPr>
      </w:pPr>
      <w:r w:rsidRPr="00F225C6">
        <w:rPr>
          <w:b/>
          <w:u w:val="single"/>
        </w:rPr>
        <w:t>Assembly Bill 289 (Fong) Public Records Ombudsman</w:t>
      </w:r>
    </w:p>
    <w:p w14:paraId="3BEC3B6D" w14:textId="2CDB6770" w:rsidR="00F225C6" w:rsidRDefault="00F225C6">
      <w:r w:rsidRPr="00F225C6">
        <w:t>This bill would declare the intent of the Legislature to enact legislation that would establish an ombudsman within the California State Auditor’s Office who would serve as the appeals body for all requests related to the California Public Records Act.</w:t>
      </w:r>
    </w:p>
    <w:p w14:paraId="781BEF1A" w14:textId="77777777" w:rsidR="00F225C6" w:rsidRDefault="00F225C6"/>
    <w:p w14:paraId="62B0BA38" w14:textId="19C84BB9" w:rsidR="00F225C6" w:rsidRDefault="00F225C6">
      <w:r>
        <w:t xml:space="preserve">It comes from an intent to create a third-party mediator to determine whether records are disclosable to resolve disputes between the public and local governments.  </w:t>
      </w:r>
    </w:p>
    <w:p w14:paraId="4FD782F8" w14:textId="77777777" w:rsidR="00F225C6" w:rsidRDefault="00F225C6"/>
    <w:p w14:paraId="340DB3B3" w14:textId="432A71ED" w:rsidR="00F225C6" w:rsidRDefault="00F225C6">
      <w:r>
        <w:t>The measure is strictly an “intent” bill with no specifics, so we need to track closely.</w:t>
      </w:r>
    </w:p>
    <w:p w14:paraId="15178A89" w14:textId="77777777" w:rsidR="00F225C6" w:rsidRDefault="00F225C6"/>
    <w:p w14:paraId="09DA702A" w14:textId="4218B7A7" w:rsidR="00F225C6" w:rsidRDefault="00F225C6">
      <w:pPr>
        <w:rPr>
          <w:b/>
          <w:u w:val="single"/>
        </w:rPr>
      </w:pPr>
      <w:r>
        <w:rPr>
          <w:b/>
          <w:u w:val="single"/>
        </w:rPr>
        <w:t>Assembly Bill 1213 (Chen) LDA’s</w:t>
      </w:r>
    </w:p>
    <w:p w14:paraId="3A6B513F" w14:textId="17E8AE06" w:rsidR="00F225C6" w:rsidRDefault="00F225C6">
      <w:r w:rsidRPr="00F225C6">
        <w:t>This bill would add to the list of experience and credentials that qualify an applicant to apply for registration as a legal document assistant the possession of a Juris Doctor degree from a law school approved by the American Bar Association or accredited by the State Bar of California’s Committee of Bar Examiners, or from a law school in another state that is accredited by the agency that accredits law schools in that state.</w:t>
      </w:r>
    </w:p>
    <w:p w14:paraId="34932650" w14:textId="77777777" w:rsidR="00DB5E87" w:rsidRDefault="00DB5E87"/>
    <w:p w14:paraId="0C31903A" w14:textId="4A2D20AF" w:rsidR="00DB5E87" w:rsidRDefault="00DB5E87">
      <w:r>
        <w:t xml:space="preserve">This would add the education as a JD to the list of other qualification options to perform as an LDA.  They report that they have had this option allowed in some counties and not in others and seek uniformity.  </w:t>
      </w:r>
    </w:p>
    <w:p w14:paraId="212CAE72" w14:textId="77777777" w:rsidR="00DB5E87" w:rsidRDefault="00DB5E87"/>
    <w:p w14:paraId="404BA82D" w14:textId="77777777" w:rsidR="00DB5E87" w:rsidRPr="00F225C6" w:rsidRDefault="00DB5E87">
      <w:bookmarkStart w:id="0" w:name="_GoBack"/>
      <w:bookmarkEnd w:id="0"/>
    </w:p>
    <w:p w14:paraId="70B09106" w14:textId="77777777" w:rsidR="00F225C6" w:rsidRPr="00F225C6" w:rsidRDefault="00F225C6">
      <w:pPr>
        <w:rPr>
          <w:b/>
          <w:u w:val="single"/>
        </w:rPr>
      </w:pPr>
    </w:p>
    <w:p w14:paraId="7EEE489F" w14:textId="77777777" w:rsidR="00F225C6" w:rsidRPr="00FC580F" w:rsidRDefault="00F225C6"/>
    <w:p w14:paraId="1DCD178A" w14:textId="77777777" w:rsidR="0059025E" w:rsidRPr="00177DEB" w:rsidRDefault="0059025E"/>
    <w:sectPr w:rsidR="0059025E" w:rsidRPr="00177DEB"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0"/>
    <w:rsid w:val="001358D3"/>
    <w:rsid w:val="00177DEB"/>
    <w:rsid w:val="003E7006"/>
    <w:rsid w:val="0059025E"/>
    <w:rsid w:val="006831EA"/>
    <w:rsid w:val="006A1F60"/>
    <w:rsid w:val="00794352"/>
    <w:rsid w:val="00A04BE9"/>
    <w:rsid w:val="00C6572E"/>
    <w:rsid w:val="00DB5E87"/>
    <w:rsid w:val="00F225C6"/>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8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cp:lastPrinted>2019-02-28T17:24:00Z</cp:lastPrinted>
  <dcterms:created xsi:type="dcterms:W3CDTF">2019-02-28T17:25:00Z</dcterms:created>
  <dcterms:modified xsi:type="dcterms:W3CDTF">2019-02-28T17:25:00Z</dcterms:modified>
</cp:coreProperties>
</file>